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6C322F">
        <w:rPr>
          <w:b/>
          <w:color w:val="1F497D" w:themeColor="text2"/>
          <w:sz w:val="18"/>
          <w:szCs w:val="18"/>
        </w:rPr>
        <w:t>La gestione del rischio sul credito commerciale – corso avanzato</w:t>
      </w:r>
      <w:r w:rsidRPr="00AB5D7D">
        <w:rPr>
          <w:color w:val="1F497D" w:themeColor="text2"/>
          <w:sz w:val="18"/>
          <w:szCs w:val="18"/>
        </w:rPr>
        <w:t>”</w:t>
      </w:r>
    </w:p>
    <w:p w:rsidR="009B65EB" w:rsidRPr="00C54512" w:rsidRDefault="006C322F" w:rsidP="009B65EB">
      <w:pPr>
        <w:spacing w:after="0" w:line="240" w:lineRule="auto"/>
        <w:jc w:val="center"/>
        <w:rPr>
          <w:b/>
          <w:color w:val="1F497D" w:themeColor="text2"/>
          <w:sz w:val="14"/>
          <w:szCs w:val="14"/>
        </w:rPr>
      </w:pPr>
      <w:r>
        <w:rPr>
          <w:b/>
          <w:color w:val="1F497D" w:themeColor="text2"/>
          <w:sz w:val="14"/>
          <w:szCs w:val="14"/>
        </w:rPr>
        <w:t>13 febbraio</w:t>
      </w:r>
      <w:r w:rsidR="000D511B">
        <w:rPr>
          <w:b/>
          <w:color w:val="1F497D" w:themeColor="text2"/>
          <w:sz w:val="14"/>
          <w:szCs w:val="14"/>
        </w:rPr>
        <w:t xml:space="preserve"> 201</w:t>
      </w:r>
      <w:r>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bookmarkStart w:id="0" w:name="_GoBack"/>
      <w:bookmarkEnd w:id="0"/>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4D44A4">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EA6A-B8F4-4009-AA98-6C039D2A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1141</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6</cp:revision>
  <cp:lastPrinted>2018-06-01T06:56:00Z</cp:lastPrinted>
  <dcterms:created xsi:type="dcterms:W3CDTF">2018-07-30T15:01:00Z</dcterms:created>
  <dcterms:modified xsi:type="dcterms:W3CDTF">2018-12-06T14:39:00Z</dcterms:modified>
</cp:coreProperties>
</file>